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BB5A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64522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Jesion wyniosły 7 szt.</w:t>
            </w:r>
          </w:p>
          <w:p w:rsidR="001F58BD" w:rsidRDefault="001F58BD" w:rsidP="0064522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z działki ewid.</w:t>
            </w:r>
            <w:r w:rsidR="00645227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="0029239F">
              <w:rPr>
                <w:rFonts w:ascii="Arial" w:hAnsi="Arial" w:cs="Arial"/>
              </w:rPr>
              <w:t xml:space="preserve">obręb </w:t>
            </w:r>
            <w:r w:rsidR="00645227">
              <w:rPr>
                <w:rFonts w:ascii="Arial" w:hAnsi="Arial" w:cs="Arial"/>
              </w:rPr>
              <w:t>Łączna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BB5A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T.6131.39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6452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6452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35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45227">
              <w:rPr>
                <w:rFonts w:ascii="Arial" w:hAnsi="Arial" w:cs="Arial"/>
                <w:sz w:val="22"/>
                <w:szCs w:val="22"/>
              </w:rPr>
              <w:t>0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4556BB"/>
    <w:rsid w:val="006309A9"/>
    <w:rsid w:val="00645227"/>
    <w:rsid w:val="00BB5A21"/>
    <w:rsid w:val="00D0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2013-09-23T07:04:00Z</dcterms:created>
  <dcterms:modified xsi:type="dcterms:W3CDTF">2013-09-30T08:47:00Z</dcterms:modified>
</cp:coreProperties>
</file>