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A4A" w:rsidRPr="00FF2B94" w:rsidRDefault="00277A4A" w:rsidP="00FE4BB5">
      <w:pPr>
        <w:pStyle w:val="NormalnyWeb"/>
        <w:spacing w:before="149" w:beforeAutospacing="0" w:after="149" w:afterAutospacing="0"/>
        <w:rPr>
          <w:rStyle w:val="Uwydatnienie"/>
          <w:rFonts w:ascii="Tahoma" w:hAnsi="Tahoma" w:cs="Tahoma"/>
          <w:b/>
          <w:bCs/>
          <w:color w:val="000000"/>
          <w:sz w:val="20"/>
          <w:szCs w:val="20"/>
        </w:rPr>
      </w:pPr>
      <w:r w:rsidRPr="00FF2B94">
        <w:rPr>
          <w:rStyle w:val="Uwydatnienie"/>
          <w:rFonts w:ascii="Tahoma" w:hAnsi="Tahoma" w:cs="Tahoma"/>
          <w:b/>
          <w:bCs/>
          <w:color w:val="000000"/>
          <w:sz w:val="20"/>
          <w:szCs w:val="20"/>
        </w:rPr>
        <w:t xml:space="preserve">Zakład Gospodarki Komunalnej w Łącznej jest </w:t>
      </w:r>
      <w:r w:rsidR="00FE4BB5" w:rsidRPr="00FF2B94">
        <w:rPr>
          <w:rStyle w:val="Uwydatnienie"/>
          <w:rFonts w:ascii="Tahoma" w:hAnsi="Tahoma" w:cs="Tahoma"/>
          <w:b/>
          <w:bCs/>
          <w:color w:val="000000"/>
          <w:sz w:val="20"/>
          <w:szCs w:val="20"/>
        </w:rPr>
        <w:t>Zakład budżetow</w:t>
      </w:r>
      <w:r w:rsidRPr="00FF2B94">
        <w:rPr>
          <w:rStyle w:val="Uwydatnienie"/>
          <w:rFonts w:ascii="Tahoma" w:hAnsi="Tahoma" w:cs="Tahoma"/>
          <w:b/>
          <w:bCs/>
          <w:color w:val="000000"/>
          <w:sz w:val="20"/>
          <w:szCs w:val="20"/>
        </w:rPr>
        <w:t>ym gminy Łączna</w:t>
      </w:r>
      <w:r w:rsidR="003C4A2F" w:rsidRPr="00FF2B94">
        <w:rPr>
          <w:rStyle w:val="Uwydatnienie"/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FE4BB5" w:rsidRPr="00FF2B94" w:rsidRDefault="003C4A2F" w:rsidP="00FE4BB5">
      <w:pPr>
        <w:pStyle w:val="NormalnyWeb"/>
        <w:spacing w:before="149" w:beforeAutospacing="0" w:after="149" w:afterAutospacing="0"/>
        <w:rPr>
          <w:rFonts w:ascii="Tahoma" w:hAnsi="Tahoma" w:cs="Tahoma"/>
          <w:color w:val="000000"/>
          <w:sz w:val="20"/>
          <w:szCs w:val="20"/>
        </w:rPr>
      </w:pPr>
      <w:r w:rsidRPr="00FF2B94">
        <w:rPr>
          <w:rStyle w:val="Uwydatnienie"/>
          <w:rFonts w:ascii="Tahoma" w:hAnsi="Tahoma" w:cs="Tahoma"/>
          <w:b/>
          <w:bCs/>
          <w:color w:val="000000"/>
          <w:sz w:val="20"/>
          <w:szCs w:val="20"/>
        </w:rPr>
        <w:t>W</w:t>
      </w:r>
      <w:r w:rsidR="00FE4BB5" w:rsidRPr="00FF2B94">
        <w:rPr>
          <w:rStyle w:val="Uwydatnienie"/>
          <w:rFonts w:ascii="Tahoma" w:hAnsi="Tahoma" w:cs="Tahoma"/>
          <w:b/>
          <w:bCs/>
          <w:color w:val="000000"/>
          <w:sz w:val="20"/>
          <w:szCs w:val="20"/>
        </w:rPr>
        <w:t>ęgiel kamienny</w:t>
      </w:r>
      <w:r w:rsidRPr="00FF2B94">
        <w:rPr>
          <w:rStyle w:val="Uwydatnienie"/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FF2B94">
        <w:rPr>
          <w:rStyle w:val="Uwydatnienie"/>
          <w:rFonts w:ascii="Tahoma" w:hAnsi="Tahoma" w:cs="Tahoma"/>
          <w:b/>
          <w:bCs/>
          <w:color w:val="000000"/>
          <w:sz w:val="20"/>
          <w:szCs w:val="20"/>
        </w:rPr>
        <w:t>ekogroszek</w:t>
      </w:r>
      <w:proofErr w:type="spellEnd"/>
      <w:r w:rsidRPr="00FF2B94">
        <w:rPr>
          <w:rStyle w:val="Uwydatnienie"/>
          <w:rFonts w:ascii="Tahoma" w:hAnsi="Tahoma" w:cs="Tahoma"/>
          <w:b/>
          <w:bCs/>
          <w:color w:val="000000"/>
          <w:sz w:val="20"/>
          <w:szCs w:val="20"/>
        </w:rPr>
        <w:t xml:space="preserve"> będzie </w:t>
      </w:r>
      <w:r w:rsidR="00FE4BB5" w:rsidRPr="00FF2B94">
        <w:rPr>
          <w:rStyle w:val="Uwydatnienie"/>
          <w:rFonts w:ascii="Tahoma" w:hAnsi="Tahoma" w:cs="Tahoma"/>
          <w:b/>
          <w:bCs/>
          <w:color w:val="000000"/>
          <w:sz w:val="20"/>
          <w:szCs w:val="20"/>
        </w:rPr>
        <w:t xml:space="preserve"> zakupiony w celu ogrzania pomieszczeń wykorzystywanych przy wykonywaniu zadań publicznych, do których zakład został powołany, </w:t>
      </w:r>
      <w:r w:rsidR="00277A4A" w:rsidRPr="00FF2B94">
        <w:rPr>
          <w:rStyle w:val="Uwydatnienie"/>
          <w:rFonts w:ascii="Tahoma" w:hAnsi="Tahoma" w:cs="Tahoma"/>
          <w:b/>
          <w:bCs/>
          <w:color w:val="000000"/>
          <w:sz w:val="20"/>
          <w:szCs w:val="20"/>
        </w:rPr>
        <w:t xml:space="preserve">nie </w:t>
      </w:r>
      <w:r w:rsidR="00FE4BB5" w:rsidRPr="00FF2B94">
        <w:rPr>
          <w:rStyle w:val="Uwydatnienie"/>
          <w:rFonts w:ascii="Tahoma" w:hAnsi="Tahoma" w:cs="Tahoma"/>
          <w:b/>
          <w:bCs/>
          <w:color w:val="000000"/>
          <w:sz w:val="20"/>
          <w:szCs w:val="20"/>
        </w:rPr>
        <w:t>podlega zwolnieniu z akcyzy</w:t>
      </w:r>
      <w:r w:rsidRPr="00FF2B94">
        <w:rPr>
          <w:rStyle w:val="Uwydatnienie"/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FE4BB5" w:rsidRPr="00FF2B94" w:rsidRDefault="00FE4BB5" w:rsidP="00FE4BB5">
      <w:pPr>
        <w:pStyle w:val="NormalnyWeb"/>
        <w:spacing w:before="149" w:beforeAutospacing="0" w:after="149" w:afterAutospacing="0"/>
        <w:rPr>
          <w:rFonts w:ascii="Tahoma" w:hAnsi="Tahoma" w:cs="Tahoma"/>
          <w:color w:val="000000"/>
          <w:sz w:val="20"/>
          <w:szCs w:val="20"/>
        </w:rPr>
      </w:pPr>
      <w:r w:rsidRPr="00FF2B94">
        <w:rPr>
          <w:rFonts w:ascii="Tahoma" w:hAnsi="Tahoma" w:cs="Tahoma"/>
          <w:color w:val="000000"/>
          <w:sz w:val="20"/>
          <w:szCs w:val="20"/>
        </w:rPr>
        <w:t>Zgodnie z art. 5 § 2 pkt 3 ustawy z dnia 14 czerwca 1960 r. Kodeks postępowania administracyjnego (Dz. U. z 2000 r. nr 98, poz. 1071 ze zm.) - przez organy administracji publicznej rozumie się ministrów, centralne organy administracji rządowej, wojewodów, działające w ich lub we własnym imieniu inne terenowe organy administracji rządowej (zespolonej i niezespolonej), organy jednostek samorządu terytorialnego oraz organy i podmioty wymienione w art. 1 pkt 2.</w:t>
      </w:r>
      <w:bookmarkStart w:id="0" w:name="_GoBack"/>
      <w:bookmarkEnd w:id="0"/>
    </w:p>
    <w:p w:rsidR="00FE4BB5" w:rsidRPr="00FF2B94" w:rsidRDefault="00FE4BB5" w:rsidP="00FE4BB5">
      <w:pPr>
        <w:pStyle w:val="NormalnyWeb"/>
        <w:spacing w:before="149" w:beforeAutospacing="0" w:after="149" w:afterAutospacing="0"/>
        <w:rPr>
          <w:rFonts w:ascii="Tahoma" w:hAnsi="Tahoma" w:cs="Tahoma"/>
          <w:color w:val="000000"/>
          <w:sz w:val="20"/>
          <w:szCs w:val="20"/>
        </w:rPr>
      </w:pPr>
      <w:r w:rsidRPr="00FF2B94">
        <w:rPr>
          <w:rFonts w:ascii="Tahoma" w:hAnsi="Tahoma" w:cs="Tahoma"/>
          <w:color w:val="000000"/>
          <w:sz w:val="20"/>
          <w:szCs w:val="20"/>
        </w:rPr>
        <w:t>Natomiast organy jednostek samorządu terytorialnego, to organy gminy, powiatu, województwa, związków gmin, związków powiatów, wójta, burmistrza (prezydenta miasta), starosta, marszałek województwa oraz kierownicy służb, inspekcji i straży działających w imieniu wójta, burmistrza (prezydenta miasta), starosty lub marszałka województwa, a ponadto samorządowe kolegia odwoławcze (art. 5 § 2 pkt 6 KPA).</w:t>
      </w:r>
    </w:p>
    <w:p w:rsidR="00FE4BB5" w:rsidRPr="00FF2B94" w:rsidRDefault="00FE4BB5" w:rsidP="00FE4BB5">
      <w:pPr>
        <w:pStyle w:val="NormalnyWeb"/>
        <w:spacing w:before="149" w:beforeAutospacing="0" w:after="149" w:afterAutospacing="0"/>
        <w:rPr>
          <w:rFonts w:ascii="Tahoma" w:hAnsi="Tahoma" w:cs="Tahoma"/>
          <w:color w:val="000000"/>
          <w:sz w:val="20"/>
          <w:szCs w:val="20"/>
        </w:rPr>
      </w:pPr>
      <w:r w:rsidRPr="00FF2B94">
        <w:rPr>
          <w:rFonts w:ascii="Tahoma" w:hAnsi="Tahoma" w:cs="Tahoma"/>
          <w:color w:val="000000"/>
          <w:sz w:val="20"/>
          <w:szCs w:val="20"/>
        </w:rPr>
        <w:t>Z kolei zgodnie z art. 11a ust. 1 pkt 1 i pkt 2 ustawy z dnia 8 marca 1990 r. o samorządzie gminnym (Dz. U. z 2001 r. nr 142, poz. 1591 ze zm.), organami gminy są rada gminy i wójt (burmistrz, prezydent miasta). W myśl art. 33 ust. 1 tej ustawy, wójt wykonuje zadania przy pomocy urzędu gminy.</w:t>
      </w:r>
    </w:p>
    <w:p w:rsidR="00FE4BB5" w:rsidRPr="00FF2B94" w:rsidRDefault="00FE4BB5" w:rsidP="00FE4BB5">
      <w:pPr>
        <w:pStyle w:val="NormalnyWeb"/>
        <w:spacing w:before="149" w:beforeAutospacing="0" w:after="149" w:afterAutospacing="0"/>
        <w:rPr>
          <w:rFonts w:ascii="Tahoma" w:hAnsi="Tahoma" w:cs="Tahoma"/>
          <w:color w:val="000000"/>
          <w:sz w:val="20"/>
          <w:szCs w:val="20"/>
        </w:rPr>
      </w:pPr>
      <w:r w:rsidRPr="00FF2B94">
        <w:rPr>
          <w:rFonts w:ascii="Tahoma" w:hAnsi="Tahoma" w:cs="Tahoma"/>
          <w:color w:val="000000"/>
          <w:sz w:val="20"/>
          <w:szCs w:val="20"/>
        </w:rPr>
        <w:t>Biorąc pod uwagę przytoczone regulacje należy stwierdzić, iż zakład budżetowy nie jest organem administracji publicznej, pomimo iż wykonuje zadania o charakterze publicznym</w:t>
      </w:r>
      <w:r w:rsidRPr="00FF2B94">
        <w:rPr>
          <w:rFonts w:ascii="Tahoma" w:hAnsi="Tahoma" w:cs="Tahoma"/>
          <w:b/>
          <w:color w:val="000000"/>
          <w:sz w:val="20"/>
          <w:szCs w:val="20"/>
        </w:rPr>
        <w:t>. Dlatego też brak jest podstaw prawnych, aby uznać że w przypadku zakładu ma zastosowanie zwolnienie od podatku akcyzowego określone w art. 31a ust. 2 pkt 3 ustawy</w:t>
      </w:r>
      <w:r w:rsidRPr="00FF2B94">
        <w:rPr>
          <w:rFonts w:ascii="Tahoma" w:hAnsi="Tahoma" w:cs="Tahoma"/>
          <w:color w:val="000000"/>
          <w:sz w:val="20"/>
          <w:szCs w:val="20"/>
        </w:rPr>
        <w:t>.</w:t>
      </w:r>
    </w:p>
    <w:p w:rsidR="001C225D" w:rsidRDefault="001C225D"/>
    <w:sectPr w:rsidR="001C225D" w:rsidSect="001C2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5"/>
    <w:rsid w:val="001C225D"/>
    <w:rsid w:val="00277A4A"/>
    <w:rsid w:val="003C4A2F"/>
    <w:rsid w:val="00FE4BB5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F5895-5673-490F-B95D-DD1011BA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22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4BB5"/>
    <w:rPr>
      <w:b/>
      <w:bCs/>
    </w:rPr>
  </w:style>
  <w:style w:type="character" w:styleId="Uwydatnienie">
    <w:name w:val="Emphasis"/>
    <w:basedOn w:val="Domylnaczcionkaakapitu"/>
    <w:uiPriority w:val="20"/>
    <w:qFormat/>
    <w:rsid w:val="00FE4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Walkowicz</dc:creator>
  <cp:lastModifiedBy>ZGK-WODA</cp:lastModifiedBy>
  <cp:revision>2</cp:revision>
  <dcterms:created xsi:type="dcterms:W3CDTF">2017-11-07T11:50:00Z</dcterms:created>
  <dcterms:modified xsi:type="dcterms:W3CDTF">2017-11-07T11:50:00Z</dcterms:modified>
</cp:coreProperties>
</file>